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F7" w:rsidRPr="00154598" w:rsidRDefault="000F15F7" w:rsidP="000F15F7">
      <w:pPr>
        <w:spacing w:before="60" w:after="60"/>
        <w:jc w:val="center"/>
        <w:rPr>
          <w:b/>
          <w:sz w:val="26"/>
        </w:rPr>
      </w:pPr>
      <w:r>
        <w:rPr>
          <w:b/>
          <w:sz w:val="26"/>
        </w:rPr>
        <w:t>УКАЗАНИЯ</w:t>
      </w:r>
    </w:p>
    <w:p w:rsidR="000F15F7" w:rsidRPr="00154598" w:rsidRDefault="000F15F7" w:rsidP="000F15F7">
      <w:pPr>
        <w:spacing w:before="60" w:after="60"/>
        <w:jc w:val="center"/>
        <w:rPr>
          <w:b/>
          <w:sz w:val="26"/>
        </w:rPr>
      </w:pPr>
      <w:r>
        <w:rPr>
          <w:b/>
          <w:sz w:val="26"/>
        </w:rPr>
        <w:t>по заполнению формы федерального статистического наблюдения</w:t>
      </w:r>
      <w:r w:rsidRPr="00154598">
        <w:rPr>
          <w:b/>
          <w:sz w:val="26"/>
        </w:rPr>
        <w:t xml:space="preserve"> </w:t>
      </w:r>
      <w:r w:rsidRPr="00154598">
        <w:rPr>
          <w:b/>
          <w:sz w:val="26"/>
        </w:rPr>
        <w:br/>
      </w:r>
      <w:r w:rsidRPr="000F15F7">
        <w:rPr>
          <w:b/>
          <w:sz w:val="26"/>
        </w:rPr>
        <w:t xml:space="preserve">№ 2-РЦ «Сведения о составе розничной цены и затратах организаций </w:t>
      </w:r>
      <w:r>
        <w:rPr>
          <w:b/>
          <w:sz w:val="26"/>
        </w:rPr>
        <w:br/>
      </w:r>
      <w:r w:rsidRPr="000F15F7">
        <w:rPr>
          <w:b/>
          <w:sz w:val="26"/>
        </w:rPr>
        <w:t>розничной торговли по продаже отдельных видов товаров</w:t>
      </w:r>
      <w:r w:rsidRPr="001D2287">
        <w:t>»</w:t>
      </w:r>
    </w:p>
    <w:p w:rsidR="00A76EAB" w:rsidRPr="001D2287" w:rsidRDefault="00A76EAB" w:rsidP="00A76EAB">
      <w:pPr>
        <w:spacing w:after="120"/>
        <w:jc w:val="center"/>
        <w:rPr>
          <w:b/>
          <w:sz w:val="26"/>
        </w:rPr>
      </w:pPr>
    </w:p>
    <w:p w:rsidR="00A76EAB" w:rsidRPr="001D2287" w:rsidRDefault="00A76EAB" w:rsidP="00352CEE">
      <w:pPr>
        <w:ind w:firstLine="709"/>
        <w:jc w:val="both"/>
      </w:pPr>
      <w:r w:rsidRPr="001D2287">
        <w:t xml:space="preserve">Форму </w:t>
      </w:r>
      <w:r w:rsidR="002D0859" w:rsidRPr="001D2287">
        <w:rPr>
          <w:szCs w:val="24"/>
        </w:rPr>
        <w:t>федерального статистического наблюдения</w:t>
      </w:r>
      <w:r w:rsidR="002D0859" w:rsidRPr="001D2287">
        <w:t xml:space="preserve"> </w:t>
      </w:r>
      <w:r w:rsidRPr="001D2287">
        <w:t>№ 2-РЦ «Сведения о составе розничной цены и затратах организаций розничной торговли по продаже отдельных видов товаров</w:t>
      </w:r>
      <w:bookmarkStart w:id="0" w:name="sub_71002"/>
      <w:r w:rsidRPr="001D2287">
        <w:t xml:space="preserve">» </w:t>
      </w:r>
      <w:r w:rsidR="00352CEE" w:rsidRPr="001D2287">
        <w:t xml:space="preserve">(далее – форма) </w:t>
      </w:r>
      <w:r w:rsidRPr="001D2287">
        <w:t>предоставляют юридические лица всех форм собственности, являющиеся коммерческими организациями, включая</w:t>
      </w:r>
      <w:r w:rsidR="0030042F" w:rsidRPr="001D2287">
        <w:t xml:space="preserve"> субъекты малого и среднего предпринимательства</w:t>
      </w:r>
      <w:r w:rsidRPr="001D2287">
        <w:t>, и индивидуальные предприниматели, осуществляющие реализацию отдельных видов товаров.</w:t>
      </w:r>
    </w:p>
    <w:bookmarkEnd w:id="0"/>
    <w:p w:rsidR="00E66735" w:rsidRPr="001D2287" w:rsidRDefault="00E66735" w:rsidP="00E66735">
      <w:pPr>
        <w:ind w:firstLine="709"/>
        <w:jc w:val="both"/>
      </w:pPr>
      <w:r w:rsidRPr="001D2287">
        <w:t>Юридическое лицо или индивидуальный предприниматель заполняет настоящую форму и предоставляет ее в территориальный орган Росстата по месту своего нахождения. При наличии у юридического лица обособленных подразделений</w:t>
      </w:r>
      <w:proofErr w:type="gramStart"/>
      <w:r w:rsidRPr="001D2287">
        <w:rPr>
          <w:vertAlign w:val="superscript"/>
        </w:rPr>
        <w:t>1</w:t>
      </w:r>
      <w:proofErr w:type="gramEnd"/>
      <w:r w:rsidRPr="001D2287">
        <w:t xml:space="preserve"> – настоящая форма заполняется как по обособленному подразделению, так и по юридическому лицу без этих обособленных подразделений в случае включения их в наблюдение.</w:t>
      </w:r>
    </w:p>
    <w:p w:rsidR="00A76EAB" w:rsidRPr="001D2287" w:rsidRDefault="00A76EAB" w:rsidP="00352CEE">
      <w:pPr>
        <w:ind w:firstLine="709"/>
        <w:jc w:val="both"/>
      </w:pPr>
      <w:r w:rsidRPr="001D2287">
        <w:t>Заполненная форма предоставляется юридическим лицом в территориальный орган Росстата по месту нахождения соответствующего обособленного подразделения (по обособленному подразделению) и по месту нахождения юридического лица (без обособленных подразделений). В случае, когда юридическое лицо (его обособленн</w:t>
      </w:r>
      <w:r w:rsidR="00962FE5" w:rsidRPr="001D2287">
        <w:t>ое подразделение) не осуществляе</w:t>
      </w:r>
      <w:r w:rsidRPr="001D2287">
        <w:t>т деятельность по месту своего нахождения, форма предоставляется по мест</w:t>
      </w:r>
      <w:r w:rsidR="00962FE5" w:rsidRPr="001D2287">
        <w:t>у фактического осуществления им</w:t>
      </w:r>
      <w:r w:rsidRPr="001D2287">
        <w:t xml:space="preserve"> деятельности.</w:t>
      </w:r>
    </w:p>
    <w:p w:rsidR="00A76EAB" w:rsidRPr="001D2287" w:rsidRDefault="00A76EAB" w:rsidP="00352CEE">
      <w:pPr>
        <w:ind w:firstLine="709"/>
        <w:jc w:val="both"/>
      </w:pPr>
      <w:r w:rsidRPr="001D2287">
        <w:t xml:space="preserve">Руководитель юридического лица назначает должностных лиц, уполномоченных предоставлять </w:t>
      </w:r>
      <w:r w:rsidR="001207C3" w:rsidRPr="001D2287">
        <w:t xml:space="preserve">первичные статистические данные </w:t>
      </w:r>
      <w:r w:rsidRPr="001D2287">
        <w:t>от имени юридического лица.</w:t>
      </w:r>
    </w:p>
    <w:p w:rsidR="004D1BDC" w:rsidRPr="001D2287" w:rsidRDefault="00A76EAB" w:rsidP="00352CEE">
      <w:pPr>
        <w:ind w:firstLine="720"/>
        <w:jc w:val="both"/>
      </w:pPr>
      <w:r w:rsidRPr="001D2287">
        <w:t>В адресной части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 На бланке формы,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  <w:r w:rsidR="004D1BDC" w:rsidRPr="001D2287">
        <w:t xml:space="preserve"> Индивидуальный предприниматель указывает фамилию, имя, отчество</w:t>
      </w:r>
      <w:r w:rsidR="001207C3" w:rsidRPr="001D2287">
        <w:rPr>
          <w:lang w:val="en-US"/>
        </w:rPr>
        <w:t xml:space="preserve"> </w:t>
      </w:r>
      <w:r w:rsidR="001207C3" w:rsidRPr="001D2287">
        <w:t>(при наличии).</w:t>
      </w:r>
    </w:p>
    <w:p w:rsidR="004D1BDC" w:rsidRPr="001D2287" w:rsidRDefault="00A76EAB" w:rsidP="00352CEE">
      <w:pPr>
        <w:ind w:firstLine="709"/>
        <w:jc w:val="both"/>
        <w:rPr>
          <w:lang w:val="en-US"/>
        </w:rPr>
      </w:pPr>
      <w:r w:rsidRPr="001D2287">
        <w:t xml:space="preserve">По строке «Почтовый адрес» указывается наименование субъекта Российской Федерации, юридический адрес с почтовым индексом. Если фактический адрес не совпадает с </w:t>
      </w:r>
      <w:proofErr w:type="gramStart"/>
      <w:r w:rsidRPr="001D2287">
        <w:t>юридическим</w:t>
      </w:r>
      <w:proofErr w:type="gramEnd"/>
      <w:r w:rsidRPr="001D2287">
        <w:t xml:space="preserve">, </w:t>
      </w:r>
      <w:r w:rsidRPr="001D2287">
        <w:rPr>
          <w:szCs w:val="24"/>
        </w:rPr>
        <w:t xml:space="preserve">то указывается фактическое местонахождение респондента (почтовый адрес). </w:t>
      </w:r>
      <w:r w:rsidRPr="001D2287">
        <w:t>Для обособленных подразделений, не имеющих юридического адреса, указывается почтовый адрес с почтовым индексом.</w:t>
      </w:r>
      <w:r w:rsidR="004D1BDC" w:rsidRPr="001D2287">
        <w:t xml:space="preserve"> Индивидуальный предприниматель указывает почтовый адрес с почтовым индексом.</w:t>
      </w:r>
    </w:p>
    <w:p w:rsidR="00E66735" w:rsidRPr="001D2287" w:rsidRDefault="00E66735" w:rsidP="00E66735">
      <w:pPr>
        <w:ind w:firstLine="709"/>
        <w:jc w:val="both"/>
      </w:pPr>
      <w:r w:rsidRPr="001D2287">
        <w:t xml:space="preserve">В кодовой части титульного листа формы на основании Уведомления о присвоении кода ОКПО (идентификационного номера), размещенного на </w:t>
      </w:r>
      <w:proofErr w:type="gramStart"/>
      <w:r w:rsidRPr="001D2287">
        <w:t>Интернет-портале</w:t>
      </w:r>
      <w:proofErr w:type="gramEnd"/>
      <w:r w:rsidRPr="001D2287">
        <w:t xml:space="preserve"> Росстата по адресу: http://websbor.gks.ru/online/#!/gs/statistic-codes, отчитывающаяся организация проставляет:</w:t>
      </w:r>
    </w:p>
    <w:p w:rsidR="00A76EAB" w:rsidRPr="001D2287" w:rsidRDefault="00A76EAB" w:rsidP="00A76EAB">
      <w:pPr>
        <w:ind w:firstLine="709"/>
        <w:jc w:val="both"/>
      </w:pPr>
      <w:r w:rsidRPr="001D2287">
        <w:t>_________________________</w:t>
      </w:r>
    </w:p>
    <w:p w:rsidR="00A76EAB" w:rsidRPr="001D2287" w:rsidRDefault="00DE31CB" w:rsidP="00DE31CB">
      <w:pPr>
        <w:ind w:firstLine="709"/>
        <w:jc w:val="both"/>
        <w:rPr>
          <w:sz w:val="20"/>
        </w:rPr>
      </w:pPr>
      <w:r>
        <w:rPr>
          <w:sz w:val="20"/>
          <w:vertAlign w:val="superscript"/>
        </w:rPr>
        <w:t>1</w:t>
      </w:r>
      <w:r w:rsidR="00A76EAB" w:rsidRPr="001D2287">
        <w:rPr>
          <w:sz w:val="20"/>
        </w:rPr>
        <w:t>Обособле</w:t>
      </w:r>
      <w:r>
        <w:rPr>
          <w:sz w:val="20"/>
        </w:rPr>
        <w:t xml:space="preserve">нное подразделение организации </w:t>
      </w:r>
      <w:r>
        <w:rPr>
          <w:sz w:val="20"/>
        </w:rPr>
        <w:sym w:font="Symbol" w:char="F02D"/>
      </w:r>
      <w:r w:rsidR="00A76EAB" w:rsidRPr="001D2287">
        <w:rPr>
          <w:sz w:val="20"/>
        </w:rPr>
        <w:t xml:space="preserve">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</w:t>
      </w:r>
      <w:r w:rsidR="00A76EAB" w:rsidRPr="001D2287">
        <w:rPr>
          <w:sz w:val="20"/>
        </w:rPr>
        <w:lastRenderedPageBreak/>
        <w:t>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(п. 2 ст. 11 Налогового кодекса Российской Федерации).</w:t>
      </w:r>
    </w:p>
    <w:p w:rsidR="00141981" w:rsidRPr="001D2287" w:rsidRDefault="00141981" w:rsidP="00016B26">
      <w:pPr>
        <w:ind w:firstLine="709"/>
        <w:jc w:val="both"/>
        <w:rPr>
          <w:lang w:val="en-US"/>
        </w:rPr>
      </w:pPr>
    </w:p>
    <w:p w:rsidR="00E66735" w:rsidRPr="001D2287" w:rsidRDefault="00E66735" w:rsidP="00474808">
      <w:pPr>
        <w:ind w:firstLine="708"/>
        <w:jc w:val="both"/>
        <w:rPr>
          <w:lang w:val="en-US"/>
        </w:rPr>
      </w:pPr>
    </w:p>
    <w:p w:rsidR="00DE31CB" w:rsidRDefault="00DE31CB" w:rsidP="00E66735">
      <w:pPr>
        <w:ind w:firstLine="709"/>
        <w:jc w:val="both"/>
        <w:rPr>
          <w:lang w:val="en-US"/>
        </w:rPr>
      </w:pPr>
    </w:p>
    <w:p w:rsidR="00E66735" w:rsidRPr="001D2287" w:rsidRDefault="00E66735" w:rsidP="00E66735">
      <w:pPr>
        <w:ind w:firstLine="709"/>
        <w:jc w:val="both"/>
      </w:pPr>
      <w:r w:rsidRPr="001D2287">
        <w:t>код по Общероссийскому классификатору предприятий и организаций (ОКПО) – для юридического лица, не имеющего территориально обособле</w:t>
      </w:r>
      <w:r w:rsidR="00DE31CB">
        <w:t>нных подразделений;</w:t>
      </w:r>
      <w:r w:rsidRPr="001D2287">
        <w:t xml:space="preserve"> </w:t>
      </w:r>
    </w:p>
    <w:p w:rsidR="00E66735" w:rsidRPr="001D2287" w:rsidRDefault="00E66735" w:rsidP="00E66735">
      <w:pPr>
        <w:ind w:firstLine="709"/>
        <w:jc w:val="both"/>
      </w:pPr>
      <w:r w:rsidRPr="001D2287">
        <w:t>идентификационный номер – для территориально обособленного подразделения юридического лица и для головного подразделения юридического лица.</w:t>
      </w:r>
    </w:p>
    <w:p w:rsidR="00474808" w:rsidRPr="001D2287" w:rsidRDefault="00474808" w:rsidP="00474808">
      <w:pPr>
        <w:ind w:firstLine="708"/>
        <w:jc w:val="both"/>
      </w:pPr>
      <w:r w:rsidRPr="001D2287">
        <w:t>В качестве головного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 w:rsidR="005870A1" w:rsidRPr="001D2287" w:rsidRDefault="005870A1" w:rsidP="005870A1">
      <w:pPr>
        <w:ind w:firstLine="708"/>
        <w:jc w:val="both"/>
      </w:pPr>
      <w:r w:rsidRPr="001D2287">
        <w:t xml:space="preserve">При реорганизации юридического лица в форме преобразования юридическое лицо, являющееся правопреемником, с момента своего создания должно </w:t>
      </w:r>
      <w:proofErr w:type="gramStart"/>
      <w:r w:rsidRPr="001D2287">
        <w:t>предоставлять отчет</w:t>
      </w:r>
      <w:proofErr w:type="gramEnd"/>
      <w:r w:rsidRPr="001D2287">
        <w:t xml:space="preserve"> по форме (включая данные реорганизованного юридического лица) в срок, указанный на бланке формы за период с начала отчетного года, в котором произошла реорганизация.</w:t>
      </w:r>
    </w:p>
    <w:p w:rsidR="00A76EAB" w:rsidRPr="001D2287" w:rsidRDefault="00A76EAB" w:rsidP="00D2511C">
      <w:pPr>
        <w:ind w:firstLine="709"/>
        <w:jc w:val="both"/>
      </w:pPr>
      <w:r w:rsidRPr="001D2287">
        <w:t>Перечень обследуемых видов товаров приведен в графе 1 формы.</w:t>
      </w:r>
    </w:p>
    <w:p w:rsidR="007521CB" w:rsidRPr="001D2287" w:rsidRDefault="007521CB" w:rsidP="00D2511C">
      <w:pPr>
        <w:ind w:firstLine="709"/>
        <w:jc w:val="both"/>
      </w:pPr>
      <w:proofErr w:type="gramStart"/>
      <w:r w:rsidRPr="001D2287">
        <w:t xml:space="preserve">Организация розничной торговли выбирает для обследования конкретные виды отечественного товара из приведенных в форме и проставляет розничную цену на них, действовавшую в декабре отчетного года. </w:t>
      </w:r>
      <w:proofErr w:type="gramEnd"/>
    </w:p>
    <w:p w:rsidR="001D2287" w:rsidRPr="001D2287" w:rsidRDefault="001D2287" w:rsidP="001D2287">
      <w:pPr>
        <w:ind w:firstLine="709"/>
        <w:jc w:val="both"/>
      </w:pPr>
      <w:r w:rsidRPr="001D2287">
        <w:t>При отборе конкретных видов товаров для обследования рекомендуется отбирать товары местных производителей, имеющие наибольший удельный вес в объеме продажи товаров данного наименования. Уровень розничной цены отобранных видов товаров должен быть приближен к средним значениям.</w:t>
      </w:r>
    </w:p>
    <w:p w:rsidR="001D2287" w:rsidRPr="001D2287" w:rsidRDefault="001D2287" w:rsidP="001D2287">
      <w:pPr>
        <w:pStyle w:val="11"/>
        <w:ind w:firstLine="709"/>
        <w:jc w:val="both"/>
        <w:rPr>
          <w:rFonts w:ascii="Times New Roman" w:hAnsi="Times New Roman"/>
          <w:sz w:val="24"/>
        </w:rPr>
      </w:pPr>
      <w:r w:rsidRPr="001D2287">
        <w:rPr>
          <w:rFonts w:ascii="Times New Roman" w:hAnsi="Times New Roman"/>
          <w:sz w:val="24"/>
        </w:rPr>
        <w:t xml:space="preserve">В </w:t>
      </w:r>
      <w:r w:rsidR="00DE31CB">
        <w:rPr>
          <w:rFonts w:ascii="Times New Roman" w:hAnsi="Times New Roman"/>
          <w:b/>
          <w:sz w:val="24"/>
        </w:rPr>
        <w:t>графах 4</w:t>
      </w:r>
      <w:r w:rsidR="00DE31CB">
        <w:rPr>
          <w:rFonts w:ascii="Times New Roman" w:hAnsi="Times New Roman"/>
          <w:b/>
          <w:sz w:val="24"/>
        </w:rPr>
        <w:sym w:font="Symbol" w:char="F02D"/>
      </w:r>
      <w:r w:rsidRPr="001D2287">
        <w:rPr>
          <w:rFonts w:ascii="Times New Roman" w:hAnsi="Times New Roman"/>
          <w:b/>
          <w:sz w:val="24"/>
        </w:rPr>
        <w:t>11</w:t>
      </w:r>
      <w:r w:rsidRPr="001D2287">
        <w:rPr>
          <w:rFonts w:ascii="Times New Roman" w:hAnsi="Times New Roman"/>
          <w:sz w:val="24"/>
        </w:rPr>
        <w:t xml:space="preserve"> показатели заполняются </w:t>
      </w:r>
      <w:proofErr w:type="gramStart"/>
      <w:r w:rsidRPr="001D2287">
        <w:rPr>
          <w:rFonts w:ascii="Times New Roman" w:hAnsi="Times New Roman"/>
          <w:sz w:val="24"/>
        </w:rPr>
        <w:t xml:space="preserve">в рублях в расчете на единицу измерения товара в соответствии с </w:t>
      </w:r>
      <w:r w:rsidRPr="001D2287">
        <w:rPr>
          <w:rFonts w:ascii="Times New Roman" w:hAnsi="Times New Roman"/>
          <w:b/>
          <w:sz w:val="24"/>
        </w:rPr>
        <w:t>графой</w:t>
      </w:r>
      <w:proofErr w:type="gramEnd"/>
      <w:r w:rsidRPr="001D2287">
        <w:rPr>
          <w:rFonts w:ascii="Times New Roman" w:hAnsi="Times New Roman"/>
          <w:b/>
          <w:sz w:val="24"/>
        </w:rPr>
        <w:t xml:space="preserve"> 3</w:t>
      </w:r>
      <w:r w:rsidRPr="001D2287">
        <w:rPr>
          <w:rFonts w:ascii="Times New Roman" w:hAnsi="Times New Roman"/>
          <w:sz w:val="24"/>
        </w:rPr>
        <w:t xml:space="preserve">. </w:t>
      </w:r>
    </w:p>
    <w:p w:rsidR="001D2287" w:rsidRPr="001D2287" w:rsidRDefault="001D2287" w:rsidP="001D2287">
      <w:pPr>
        <w:pStyle w:val="11"/>
        <w:ind w:firstLine="709"/>
        <w:jc w:val="both"/>
        <w:rPr>
          <w:rFonts w:ascii="Times New Roman" w:hAnsi="Times New Roman"/>
          <w:sz w:val="24"/>
        </w:rPr>
      </w:pPr>
      <w:r w:rsidRPr="001D2287">
        <w:rPr>
          <w:rFonts w:ascii="Times New Roman" w:hAnsi="Times New Roman"/>
          <w:sz w:val="24"/>
        </w:rPr>
        <w:t xml:space="preserve">В </w:t>
      </w:r>
      <w:r w:rsidRPr="001D2287">
        <w:rPr>
          <w:rFonts w:ascii="Times New Roman" w:hAnsi="Times New Roman"/>
          <w:b/>
          <w:sz w:val="24"/>
        </w:rPr>
        <w:t>графе 5</w:t>
      </w:r>
      <w:r w:rsidRPr="001D2287">
        <w:rPr>
          <w:rFonts w:ascii="Times New Roman" w:hAnsi="Times New Roman"/>
          <w:sz w:val="24"/>
        </w:rPr>
        <w:t xml:space="preserve"> приводится цена приобретения товара, включая НДС поставщика.</w:t>
      </w:r>
    </w:p>
    <w:p w:rsidR="001D2287" w:rsidRPr="001D2287" w:rsidRDefault="001D2287" w:rsidP="001D2287">
      <w:pPr>
        <w:pStyle w:val="11"/>
        <w:ind w:firstLine="709"/>
        <w:jc w:val="both"/>
        <w:rPr>
          <w:rFonts w:ascii="Times New Roman" w:hAnsi="Times New Roman"/>
          <w:sz w:val="24"/>
        </w:rPr>
      </w:pPr>
      <w:r w:rsidRPr="001D2287">
        <w:rPr>
          <w:rFonts w:ascii="Times New Roman" w:hAnsi="Times New Roman"/>
          <w:sz w:val="24"/>
        </w:rPr>
        <w:t xml:space="preserve">В </w:t>
      </w:r>
      <w:r w:rsidRPr="001D2287">
        <w:rPr>
          <w:rFonts w:ascii="Times New Roman" w:hAnsi="Times New Roman"/>
          <w:b/>
          <w:sz w:val="24"/>
        </w:rPr>
        <w:t>графе 6</w:t>
      </w:r>
      <w:r w:rsidRPr="001D2287">
        <w:rPr>
          <w:rFonts w:ascii="Times New Roman" w:hAnsi="Times New Roman"/>
          <w:sz w:val="24"/>
        </w:rPr>
        <w:t xml:space="preserve"> отражается НДС, начисленный для возврата поставщику.</w:t>
      </w:r>
    </w:p>
    <w:p w:rsidR="001D2287" w:rsidRPr="001D2287" w:rsidRDefault="001D2287" w:rsidP="001D2287">
      <w:pPr>
        <w:pStyle w:val="11"/>
        <w:ind w:firstLine="709"/>
        <w:jc w:val="both"/>
        <w:rPr>
          <w:rFonts w:ascii="Times New Roman" w:hAnsi="Times New Roman"/>
          <w:sz w:val="24"/>
        </w:rPr>
      </w:pPr>
      <w:r w:rsidRPr="001D2287">
        <w:rPr>
          <w:rFonts w:ascii="Times New Roman" w:hAnsi="Times New Roman"/>
          <w:sz w:val="24"/>
        </w:rPr>
        <w:t xml:space="preserve">В </w:t>
      </w:r>
      <w:r w:rsidRPr="001D2287">
        <w:rPr>
          <w:rFonts w:ascii="Times New Roman" w:hAnsi="Times New Roman"/>
          <w:b/>
          <w:sz w:val="24"/>
        </w:rPr>
        <w:t>графе 7</w:t>
      </w:r>
      <w:r w:rsidRPr="001D2287">
        <w:rPr>
          <w:rFonts w:ascii="Times New Roman" w:hAnsi="Times New Roman"/>
          <w:sz w:val="24"/>
        </w:rPr>
        <w:t xml:space="preserve"> приводятся данные о торговой надбавке (наценке), включая НДС.</w:t>
      </w:r>
    </w:p>
    <w:p w:rsidR="001D2287" w:rsidRPr="001D2287" w:rsidRDefault="001D2287" w:rsidP="001D2287">
      <w:pPr>
        <w:ind w:firstLine="590"/>
        <w:jc w:val="both"/>
      </w:pPr>
      <w:r>
        <w:t xml:space="preserve">  </w:t>
      </w:r>
      <w:r w:rsidRPr="001D2287">
        <w:t xml:space="preserve">В </w:t>
      </w:r>
      <w:r w:rsidRPr="001D2287">
        <w:rPr>
          <w:b/>
        </w:rPr>
        <w:t>графу 8</w:t>
      </w:r>
      <w:r w:rsidRPr="001D2287">
        <w:t xml:space="preserve"> заносится НДС, исчисленный организацией розничной торговли, исходя из величины торговой надбавки (наценки), указанной в </w:t>
      </w:r>
      <w:r w:rsidRPr="001D2287">
        <w:rPr>
          <w:b/>
        </w:rPr>
        <w:t>графе 7</w:t>
      </w:r>
      <w:r w:rsidRPr="001D2287">
        <w:t>.</w:t>
      </w:r>
    </w:p>
    <w:p w:rsidR="001D2287" w:rsidRPr="001D2287" w:rsidRDefault="001D2287" w:rsidP="001D2287">
      <w:pPr>
        <w:ind w:firstLine="588"/>
        <w:jc w:val="both"/>
      </w:pPr>
      <w:r>
        <w:t xml:space="preserve"> </w:t>
      </w:r>
      <w:r w:rsidRPr="001D2287">
        <w:t xml:space="preserve">Обращаем внимание, что при заполнении формы совокупное значение НДС в </w:t>
      </w:r>
      <w:r w:rsidRPr="001D2287">
        <w:rPr>
          <w:b/>
        </w:rPr>
        <w:t>графах 6</w:t>
      </w:r>
      <w:r w:rsidRPr="001D2287">
        <w:t xml:space="preserve"> и</w:t>
      </w:r>
      <w:r w:rsidRPr="001D2287">
        <w:rPr>
          <w:b/>
        </w:rPr>
        <w:t xml:space="preserve"> 8</w:t>
      </w:r>
      <w:r w:rsidRPr="001D2287">
        <w:t xml:space="preserve"> по продовольственным товарам (кроме водки крепостью 40% об</w:t>
      </w:r>
      <w:proofErr w:type="gramStart"/>
      <w:r w:rsidRPr="001D2287">
        <w:t>.</w:t>
      </w:r>
      <w:proofErr w:type="gramEnd"/>
      <w:r w:rsidR="00DE31CB">
        <w:t xml:space="preserve"> </w:t>
      </w:r>
      <w:proofErr w:type="gramStart"/>
      <w:r w:rsidRPr="001D2287">
        <w:t>с</w:t>
      </w:r>
      <w:proofErr w:type="gramEnd"/>
      <w:r w:rsidRPr="001D2287">
        <w:t>пирта и выше), непродовольственным товарам детского ассортимента, медикаментам не должно превышать 10% от розничной цены товара, по остальным товарам – 20%.</w:t>
      </w:r>
    </w:p>
    <w:p w:rsidR="001D2287" w:rsidRPr="001D2287" w:rsidRDefault="001D2287" w:rsidP="001D2287">
      <w:pPr>
        <w:pStyle w:val="11"/>
        <w:ind w:firstLine="709"/>
        <w:jc w:val="both"/>
        <w:rPr>
          <w:rFonts w:ascii="Times New Roman" w:hAnsi="Times New Roman"/>
          <w:sz w:val="24"/>
        </w:rPr>
      </w:pPr>
      <w:r w:rsidRPr="001D2287">
        <w:rPr>
          <w:rFonts w:ascii="Times New Roman" w:hAnsi="Times New Roman"/>
          <w:sz w:val="24"/>
        </w:rPr>
        <w:t xml:space="preserve">В </w:t>
      </w:r>
      <w:r w:rsidR="00DE31CB">
        <w:rPr>
          <w:rFonts w:ascii="Times New Roman" w:hAnsi="Times New Roman"/>
          <w:b/>
          <w:sz w:val="24"/>
        </w:rPr>
        <w:t>графах 9</w:t>
      </w:r>
      <w:r w:rsidR="00DE31CB">
        <w:rPr>
          <w:rFonts w:ascii="Times New Roman" w:hAnsi="Times New Roman"/>
          <w:b/>
          <w:sz w:val="24"/>
        </w:rPr>
        <w:sym w:font="Symbol" w:char="F02D"/>
      </w:r>
      <w:r w:rsidRPr="001D2287">
        <w:rPr>
          <w:rFonts w:ascii="Times New Roman" w:hAnsi="Times New Roman"/>
          <w:b/>
          <w:sz w:val="24"/>
        </w:rPr>
        <w:t xml:space="preserve">10 </w:t>
      </w:r>
      <w:r w:rsidRPr="001D2287">
        <w:rPr>
          <w:rFonts w:ascii="Times New Roman" w:hAnsi="Times New Roman"/>
          <w:sz w:val="24"/>
        </w:rPr>
        <w:t>распределение затрат и прибылей специализированных организаций розничной торговли по отдельным товарам рекомендуется проводить с учетом объема продажи этих товаров (в стоимостном выражении) и применением экспертных оценок специалистов торговых организаций.</w:t>
      </w:r>
    </w:p>
    <w:p w:rsidR="001D2287" w:rsidRPr="001D2287" w:rsidRDefault="001D2287" w:rsidP="001D2287">
      <w:pPr>
        <w:pStyle w:val="11"/>
        <w:ind w:firstLine="709"/>
        <w:jc w:val="both"/>
        <w:rPr>
          <w:rFonts w:ascii="Times New Roman" w:hAnsi="Times New Roman"/>
          <w:sz w:val="24"/>
        </w:rPr>
      </w:pPr>
      <w:r w:rsidRPr="001D2287">
        <w:rPr>
          <w:rFonts w:ascii="Times New Roman" w:hAnsi="Times New Roman"/>
          <w:sz w:val="24"/>
        </w:rPr>
        <w:t xml:space="preserve">В </w:t>
      </w:r>
      <w:r w:rsidRPr="001D2287">
        <w:rPr>
          <w:rFonts w:ascii="Times New Roman" w:hAnsi="Times New Roman"/>
          <w:b/>
          <w:sz w:val="24"/>
        </w:rPr>
        <w:t xml:space="preserve">графе 11 </w:t>
      </w:r>
      <w:r w:rsidRPr="001D2287">
        <w:rPr>
          <w:rFonts w:ascii="Times New Roman" w:hAnsi="Times New Roman"/>
          <w:sz w:val="24"/>
        </w:rPr>
        <w:t>выделяются</w:t>
      </w:r>
      <w:r w:rsidRPr="001D2287">
        <w:rPr>
          <w:rFonts w:ascii="Times New Roman" w:hAnsi="Times New Roman"/>
          <w:b/>
          <w:sz w:val="24"/>
        </w:rPr>
        <w:t xml:space="preserve"> </w:t>
      </w:r>
      <w:r w:rsidRPr="001D2287">
        <w:rPr>
          <w:rFonts w:ascii="Times New Roman" w:hAnsi="Times New Roman"/>
          <w:sz w:val="24"/>
        </w:rPr>
        <w:t xml:space="preserve">из </w:t>
      </w:r>
      <w:r w:rsidRPr="001D2287">
        <w:rPr>
          <w:rFonts w:ascii="Times New Roman" w:hAnsi="Times New Roman"/>
          <w:b/>
          <w:sz w:val="24"/>
        </w:rPr>
        <w:t>графы 9</w:t>
      </w:r>
      <w:r w:rsidRPr="001D2287">
        <w:rPr>
          <w:rFonts w:ascii="Times New Roman" w:hAnsi="Times New Roman"/>
          <w:sz w:val="24"/>
        </w:rPr>
        <w:t xml:space="preserve"> затраты организаций розничной торговли на доставку товара.</w:t>
      </w:r>
    </w:p>
    <w:p w:rsidR="001D2287" w:rsidRPr="001D2287" w:rsidRDefault="001D2287" w:rsidP="001D2287">
      <w:pPr>
        <w:pStyle w:val="11"/>
        <w:ind w:firstLine="709"/>
        <w:jc w:val="both"/>
        <w:rPr>
          <w:rFonts w:ascii="Times New Roman" w:hAnsi="Times New Roman"/>
          <w:sz w:val="24"/>
        </w:rPr>
      </w:pPr>
      <w:r w:rsidRPr="001D2287">
        <w:rPr>
          <w:rFonts w:ascii="Times New Roman" w:hAnsi="Times New Roman"/>
          <w:b/>
          <w:sz w:val="24"/>
        </w:rPr>
        <w:lastRenderedPageBreak/>
        <w:t>Графа 12</w:t>
      </w:r>
      <w:r w:rsidRPr="001D2287">
        <w:rPr>
          <w:rFonts w:ascii="Times New Roman" w:hAnsi="Times New Roman"/>
          <w:sz w:val="24"/>
        </w:rPr>
        <w:t xml:space="preserve"> заполняется только по тем товарам, на которые местными органами власти утверждается предельный уровень торговой надбавки (наценки).</w:t>
      </w:r>
    </w:p>
    <w:p w:rsidR="001D2287" w:rsidRPr="001D2287" w:rsidRDefault="001D2287" w:rsidP="001D2287">
      <w:pPr>
        <w:pStyle w:val="3"/>
        <w:ind w:firstLine="709"/>
      </w:pPr>
      <w:r w:rsidRPr="001D2287">
        <w:t xml:space="preserve">В </w:t>
      </w:r>
      <w:r w:rsidRPr="001D2287">
        <w:rPr>
          <w:b/>
        </w:rPr>
        <w:t xml:space="preserve">графе 13 </w:t>
      </w:r>
      <w:r w:rsidRPr="001D2287">
        <w:t>организация розничной торговли проставляет код источника приобретения товара. Если товар приобретался у различных поставщиков, проставляется код поставщика, у которого организация  торговли приобретала наибольший объем товаров или услугами которого пользовалась чаще. Код 1 – перерабатывающее предприятие; код 2 – оптовая организация; код 3 – оптовый рынок, индивидуальные предприниматели; код 4 – другие источники.</w:t>
      </w:r>
    </w:p>
    <w:p w:rsidR="001D2287" w:rsidRPr="001D2287" w:rsidRDefault="001D2287" w:rsidP="001D2287">
      <w:pPr>
        <w:ind w:firstLine="709"/>
        <w:jc w:val="both"/>
      </w:pPr>
      <w:proofErr w:type="gramStart"/>
      <w:r w:rsidRPr="001D2287">
        <w:t xml:space="preserve">По </w:t>
      </w:r>
      <w:r w:rsidR="00DE31CB">
        <w:rPr>
          <w:b/>
        </w:rPr>
        <w:t>строкам 25</w:t>
      </w:r>
      <w:r w:rsidR="00DE31CB">
        <w:rPr>
          <w:b/>
        </w:rPr>
        <w:sym w:font="Symbol" w:char="F02D"/>
      </w:r>
      <w:r w:rsidRPr="001D2287">
        <w:rPr>
          <w:b/>
        </w:rPr>
        <w:t>27</w:t>
      </w:r>
      <w:r w:rsidRPr="001D2287">
        <w:t xml:space="preserve"> учитывается рыба, за исключением сельди и следующих ценных пород рыбы: осетровых (осетр, севрюга, белуга), сиговых (нельма, муксун), лососевых (форель, семга).</w:t>
      </w:r>
      <w:proofErr w:type="gramEnd"/>
    </w:p>
    <w:p w:rsidR="001D2287" w:rsidRPr="001D2287" w:rsidRDefault="001D2287" w:rsidP="001D2287">
      <w:pPr>
        <w:pStyle w:val="11"/>
        <w:ind w:firstLine="709"/>
        <w:jc w:val="both"/>
        <w:rPr>
          <w:rFonts w:ascii="Times New Roman" w:hAnsi="Times New Roman"/>
          <w:sz w:val="24"/>
        </w:rPr>
      </w:pPr>
      <w:r w:rsidRPr="001D2287">
        <w:rPr>
          <w:rFonts w:ascii="Times New Roman" w:hAnsi="Times New Roman"/>
          <w:sz w:val="24"/>
        </w:rPr>
        <w:t>Все показатели формы федерального статистического наблюдения заполняются с одним десятичным знаком после запятой.</w:t>
      </w:r>
    </w:p>
    <w:p w:rsidR="001D2287" w:rsidRPr="001D2287" w:rsidRDefault="001D2287" w:rsidP="001D2287">
      <w:pPr>
        <w:pStyle w:val="3"/>
        <w:spacing w:before="120"/>
        <w:rPr>
          <w:b/>
        </w:rPr>
      </w:pPr>
      <w:r w:rsidRPr="001D2287">
        <w:rPr>
          <w:b/>
        </w:rPr>
        <w:t>Обязательные контроли</w:t>
      </w:r>
    </w:p>
    <w:p w:rsidR="001D2287" w:rsidRPr="001D2287" w:rsidRDefault="001D2287" w:rsidP="001D2287">
      <w:pPr>
        <w:pStyle w:val="3"/>
        <w:spacing w:before="120" w:after="80"/>
      </w:pPr>
      <w:r w:rsidRPr="001D2287">
        <w:t>Контроли при заполнении формы в электронном виде:</w:t>
      </w:r>
    </w:p>
    <w:p w:rsidR="001D2287" w:rsidRPr="001D2287" w:rsidRDefault="001D2287" w:rsidP="001D2287">
      <w:pPr>
        <w:ind w:firstLine="720"/>
        <w:jc w:val="both"/>
      </w:pPr>
      <w:r w:rsidRPr="001D2287">
        <w:t>если по отдельной строке заполнена графа 4, т</w:t>
      </w:r>
      <w:r w:rsidR="00DE31CB">
        <w:t>о должны быть заполнены графы 5</w:t>
      </w:r>
      <w:r w:rsidR="00DE31CB">
        <w:sym w:font="Symbol" w:char="F02D"/>
      </w:r>
      <w:r w:rsidRPr="001D2287">
        <w:t>11;</w:t>
      </w:r>
    </w:p>
    <w:p w:rsidR="001D2287" w:rsidRPr="001D2287" w:rsidRDefault="001D2287" w:rsidP="001D2287">
      <w:pPr>
        <w:ind w:firstLine="720"/>
        <w:jc w:val="both"/>
      </w:pPr>
      <w:r w:rsidRPr="001D2287">
        <w:t>графа 7 = графа 8 плюс графа 9 плюс графа 10;</w:t>
      </w:r>
    </w:p>
    <w:p w:rsidR="001D2287" w:rsidRPr="001D2287" w:rsidRDefault="001D2287" w:rsidP="001D2287">
      <w:pPr>
        <w:ind w:firstLine="720"/>
      </w:pPr>
      <w:r w:rsidRPr="001D2287">
        <w:t>графа 1</w:t>
      </w:r>
      <w:r w:rsidRPr="001D2287">
        <w:rPr>
          <w:lang w:val="en-US"/>
        </w:rPr>
        <w:t>1</w:t>
      </w:r>
      <w:r w:rsidRPr="001D2287">
        <w:t xml:space="preserve"> ≤ графы </w:t>
      </w:r>
      <w:r w:rsidRPr="001D2287">
        <w:rPr>
          <w:lang w:val="en-US"/>
        </w:rPr>
        <w:t xml:space="preserve"> 9</w:t>
      </w:r>
      <w:r w:rsidRPr="001D2287">
        <w:t>.</w:t>
      </w:r>
    </w:p>
    <w:p w:rsidR="001D2287" w:rsidRPr="001D2287" w:rsidRDefault="001D2287" w:rsidP="001D2287">
      <w:pPr>
        <w:tabs>
          <w:tab w:val="left" w:pos="6096"/>
        </w:tabs>
        <w:ind w:left="2124"/>
        <w:jc w:val="center"/>
      </w:pPr>
    </w:p>
    <w:p w:rsidR="00624672" w:rsidRPr="001D2287" w:rsidRDefault="00624672" w:rsidP="001D2287">
      <w:pPr>
        <w:pStyle w:val="11"/>
        <w:ind w:firstLine="709"/>
        <w:jc w:val="both"/>
      </w:pPr>
    </w:p>
    <w:sectPr w:rsidR="00624672" w:rsidRPr="001D2287" w:rsidSect="00C24208">
      <w:headerReference w:type="even" r:id="rId8"/>
      <w:headerReference w:type="default" r:id="rId9"/>
      <w:pgSz w:w="16840" w:h="11907" w:orient="landscape" w:code="9"/>
      <w:pgMar w:top="1134" w:right="1021" w:bottom="1134" w:left="102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C8F" w:rsidRDefault="00484C8F">
      <w:r>
        <w:separator/>
      </w:r>
    </w:p>
  </w:endnote>
  <w:endnote w:type="continuationSeparator" w:id="0">
    <w:p w:rsidR="00484C8F" w:rsidRDefault="00484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C8F" w:rsidRDefault="00484C8F">
      <w:r>
        <w:separator/>
      </w:r>
    </w:p>
  </w:footnote>
  <w:footnote w:type="continuationSeparator" w:id="0">
    <w:p w:rsidR="00484C8F" w:rsidRDefault="00484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BDC" w:rsidRDefault="004D1BD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D1BDC" w:rsidRDefault="004D1BD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BDC" w:rsidRDefault="004D1BD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F15F7">
      <w:rPr>
        <w:rStyle w:val="a4"/>
        <w:noProof/>
      </w:rPr>
      <w:t>2</w:t>
    </w:r>
    <w:r>
      <w:rPr>
        <w:rStyle w:val="a4"/>
      </w:rPr>
      <w:fldChar w:fldCharType="end"/>
    </w:r>
  </w:p>
  <w:p w:rsidR="004D1BDC" w:rsidRDefault="004D1BD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47A"/>
    <w:multiLevelType w:val="singleLevel"/>
    <w:tmpl w:val="089EFA7A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CB1"/>
    <w:rsid w:val="00016B26"/>
    <w:rsid w:val="00022BD2"/>
    <w:rsid w:val="00023F39"/>
    <w:rsid w:val="00075378"/>
    <w:rsid w:val="000936FD"/>
    <w:rsid w:val="00095935"/>
    <w:rsid w:val="00095C76"/>
    <w:rsid w:val="000B6AE5"/>
    <w:rsid w:val="000F15F7"/>
    <w:rsid w:val="001207C3"/>
    <w:rsid w:val="00141981"/>
    <w:rsid w:val="00165B3C"/>
    <w:rsid w:val="00194923"/>
    <w:rsid w:val="001A6D3A"/>
    <w:rsid w:val="001D2287"/>
    <w:rsid w:val="001E2C9E"/>
    <w:rsid w:val="001E398C"/>
    <w:rsid w:val="001F4DAE"/>
    <w:rsid w:val="0020501C"/>
    <w:rsid w:val="00232F55"/>
    <w:rsid w:val="002424A4"/>
    <w:rsid w:val="002477A0"/>
    <w:rsid w:val="002633E0"/>
    <w:rsid w:val="00271E60"/>
    <w:rsid w:val="00292884"/>
    <w:rsid w:val="002A4AF6"/>
    <w:rsid w:val="002D0859"/>
    <w:rsid w:val="002E5F11"/>
    <w:rsid w:val="002F71FC"/>
    <w:rsid w:val="0030042F"/>
    <w:rsid w:val="00317CF4"/>
    <w:rsid w:val="00352CEE"/>
    <w:rsid w:val="0037188C"/>
    <w:rsid w:val="003824A0"/>
    <w:rsid w:val="003B257E"/>
    <w:rsid w:val="003B30A6"/>
    <w:rsid w:val="003D412E"/>
    <w:rsid w:val="003E256E"/>
    <w:rsid w:val="003E41D4"/>
    <w:rsid w:val="00414C83"/>
    <w:rsid w:val="00427C7B"/>
    <w:rsid w:val="004575C3"/>
    <w:rsid w:val="00464CB1"/>
    <w:rsid w:val="00474808"/>
    <w:rsid w:val="00481D1C"/>
    <w:rsid w:val="00484C8F"/>
    <w:rsid w:val="004A4038"/>
    <w:rsid w:val="004C1751"/>
    <w:rsid w:val="004D1BDC"/>
    <w:rsid w:val="004D3FAF"/>
    <w:rsid w:val="004F067B"/>
    <w:rsid w:val="004F6A16"/>
    <w:rsid w:val="00501E17"/>
    <w:rsid w:val="00520A20"/>
    <w:rsid w:val="00521745"/>
    <w:rsid w:val="005219F0"/>
    <w:rsid w:val="005221CE"/>
    <w:rsid w:val="005250AE"/>
    <w:rsid w:val="005535EC"/>
    <w:rsid w:val="00557B79"/>
    <w:rsid w:val="00582981"/>
    <w:rsid w:val="005870A1"/>
    <w:rsid w:val="005B16DE"/>
    <w:rsid w:val="005B4234"/>
    <w:rsid w:val="005C7FDC"/>
    <w:rsid w:val="005D3126"/>
    <w:rsid w:val="0060483F"/>
    <w:rsid w:val="0061609E"/>
    <w:rsid w:val="00624672"/>
    <w:rsid w:val="00624E3E"/>
    <w:rsid w:val="00635DB1"/>
    <w:rsid w:val="00641A2F"/>
    <w:rsid w:val="0066507D"/>
    <w:rsid w:val="00691AFA"/>
    <w:rsid w:val="006A7F54"/>
    <w:rsid w:val="006D3347"/>
    <w:rsid w:val="006F76D6"/>
    <w:rsid w:val="007521CB"/>
    <w:rsid w:val="0080779E"/>
    <w:rsid w:val="00823DC3"/>
    <w:rsid w:val="00833549"/>
    <w:rsid w:val="00860744"/>
    <w:rsid w:val="008671C7"/>
    <w:rsid w:val="00897D3D"/>
    <w:rsid w:val="008C3BD6"/>
    <w:rsid w:val="008C4C01"/>
    <w:rsid w:val="008E2E53"/>
    <w:rsid w:val="008F10A0"/>
    <w:rsid w:val="008F454A"/>
    <w:rsid w:val="00914830"/>
    <w:rsid w:val="00916F2A"/>
    <w:rsid w:val="00962FE5"/>
    <w:rsid w:val="00964254"/>
    <w:rsid w:val="009A21CC"/>
    <w:rsid w:val="009B1530"/>
    <w:rsid w:val="009F1D66"/>
    <w:rsid w:val="00A27954"/>
    <w:rsid w:val="00A4204C"/>
    <w:rsid w:val="00A568B5"/>
    <w:rsid w:val="00A76E15"/>
    <w:rsid w:val="00A76EAB"/>
    <w:rsid w:val="00AA27C7"/>
    <w:rsid w:val="00AB039C"/>
    <w:rsid w:val="00B01267"/>
    <w:rsid w:val="00B51C9B"/>
    <w:rsid w:val="00B667B9"/>
    <w:rsid w:val="00B67C52"/>
    <w:rsid w:val="00B74BDE"/>
    <w:rsid w:val="00BA3D7E"/>
    <w:rsid w:val="00BD5AF8"/>
    <w:rsid w:val="00C24208"/>
    <w:rsid w:val="00C74EB5"/>
    <w:rsid w:val="00C85191"/>
    <w:rsid w:val="00C91093"/>
    <w:rsid w:val="00CB5D6F"/>
    <w:rsid w:val="00CC27DC"/>
    <w:rsid w:val="00CD59EA"/>
    <w:rsid w:val="00CE6AE0"/>
    <w:rsid w:val="00D057A1"/>
    <w:rsid w:val="00D2511C"/>
    <w:rsid w:val="00D2788C"/>
    <w:rsid w:val="00D338C7"/>
    <w:rsid w:val="00D87FB5"/>
    <w:rsid w:val="00DD5ABD"/>
    <w:rsid w:val="00DE31CB"/>
    <w:rsid w:val="00E2116E"/>
    <w:rsid w:val="00E21766"/>
    <w:rsid w:val="00E6167D"/>
    <w:rsid w:val="00E61FAC"/>
    <w:rsid w:val="00E66735"/>
    <w:rsid w:val="00E77277"/>
    <w:rsid w:val="00EA617F"/>
    <w:rsid w:val="00EB0DC8"/>
    <w:rsid w:val="00EB1826"/>
    <w:rsid w:val="00ED32EF"/>
    <w:rsid w:val="00ED6422"/>
    <w:rsid w:val="00F43D82"/>
    <w:rsid w:val="00F456CD"/>
    <w:rsid w:val="00F51482"/>
    <w:rsid w:val="00F52C83"/>
    <w:rsid w:val="00F554BC"/>
    <w:rsid w:val="00F568EB"/>
    <w:rsid w:val="00F80E3F"/>
    <w:rsid w:val="00FC7B41"/>
    <w:rsid w:val="00FF1500"/>
    <w:rsid w:val="00FF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spacing w:before="60"/>
      <w:jc w:val="center"/>
      <w:outlineLvl w:val="0"/>
    </w:pPr>
    <w:rPr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абзац-1"/>
    <w:basedOn w:val="a"/>
    <w:pPr>
      <w:spacing w:line="360" w:lineRule="auto"/>
      <w:ind w:firstLine="709"/>
    </w:pPr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link w:val="a6"/>
    <w:pPr>
      <w:widowControl w:val="0"/>
      <w:spacing w:after="120"/>
    </w:pPr>
    <w:rPr>
      <w:rFonts w:ascii="Arial" w:hAnsi="Arial"/>
      <w:sz w:val="20"/>
    </w:rPr>
  </w:style>
  <w:style w:type="paragraph" w:styleId="a7">
    <w:name w:val="Plain Text"/>
    <w:basedOn w:val="a"/>
    <w:semiHidden/>
    <w:rPr>
      <w:rFonts w:ascii="Courier New" w:hAnsi="Courier New"/>
      <w:sz w:val="20"/>
    </w:rPr>
  </w:style>
  <w:style w:type="paragraph" w:styleId="a8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11">
    <w:name w:val="Обычный1"/>
    <w:rPr>
      <w:rFonts w:ascii="Arial" w:hAnsi="Arial"/>
    </w:rPr>
  </w:style>
  <w:style w:type="paragraph" w:styleId="a9">
    <w:name w:val="Body Text Indent"/>
    <w:basedOn w:val="a"/>
    <w:semiHidden/>
    <w:pPr>
      <w:ind w:left="5400"/>
    </w:pPr>
  </w:style>
  <w:style w:type="paragraph" w:styleId="2">
    <w:name w:val="Body Text Indent 2"/>
    <w:basedOn w:val="a"/>
    <w:semiHidden/>
    <w:pPr>
      <w:ind w:firstLine="709"/>
      <w:jc w:val="both"/>
    </w:pPr>
  </w:style>
  <w:style w:type="paragraph" w:styleId="aa">
    <w:name w:val="Date"/>
    <w:basedOn w:val="a"/>
    <w:next w:val="a"/>
    <w:semiHidden/>
  </w:style>
  <w:style w:type="paragraph" w:styleId="3">
    <w:name w:val="Body Text Indent 3"/>
    <w:basedOn w:val="a"/>
    <w:link w:val="30"/>
    <w:semiHidden/>
    <w:pPr>
      <w:ind w:firstLine="720"/>
      <w:jc w:val="both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link w:val="ac"/>
    <w:uiPriority w:val="99"/>
    <w:semiHidden/>
    <w:unhideWhenUsed/>
    <w:rsid w:val="00A4204C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4204C"/>
  </w:style>
  <w:style w:type="character" w:styleId="ad">
    <w:name w:val="footnote reference"/>
    <w:uiPriority w:val="99"/>
    <w:semiHidden/>
    <w:unhideWhenUsed/>
    <w:rsid w:val="00A4204C"/>
    <w:rPr>
      <w:vertAlign w:val="superscript"/>
    </w:rPr>
  </w:style>
  <w:style w:type="paragraph" w:customStyle="1" w:styleId="Normal">
    <w:name w:val="Normal"/>
    <w:rsid w:val="00A4204C"/>
    <w:pPr>
      <w:spacing w:line="288" w:lineRule="auto"/>
      <w:ind w:firstLine="567"/>
      <w:jc w:val="both"/>
    </w:pPr>
    <w:rPr>
      <w:rFonts w:ascii="Arial" w:hAnsi="Arial"/>
      <w:sz w:val="22"/>
    </w:rPr>
  </w:style>
  <w:style w:type="character" w:customStyle="1" w:styleId="10">
    <w:name w:val="Заголовок 1 Знак"/>
    <w:link w:val="1"/>
    <w:rsid w:val="00B74BDE"/>
    <w:rPr>
      <w:b/>
    </w:rPr>
  </w:style>
  <w:style w:type="paragraph" w:styleId="ae">
    <w:name w:val="Balloon Text"/>
    <w:basedOn w:val="a"/>
    <w:link w:val="af"/>
    <w:uiPriority w:val="99"/>
    <w:semiHidden/>
    <w:unhideWhenUsed/>
    <w:rsid w:val="00C2420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24208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635DB1"/>
    <w:rPr>
      <w:rFonts w:ascii="Arial" w:hAnsi="Arial"/>
    </w:rPr>
  </w:style>
  <w:style w:type="character" w:customStyle="1" w:styleId="30">
    <w:name w:val="Основной текст с отступом 3 Знак"/>
    <w:link w:val="3"/>
    <w:semiHidden/>
    <w:rsid w:val="00A76EAB"/>
    <w:rPr>
      <w:sz w:val="24"/>
    </w:rPr>
  </w:style>
  <w:style w:type="character" w:styleId="af0">
    <w:name w:val="Hyperlink"/>
    <w:semiHidden/>
    <w:unhideWhenUsed/>
    <w:rsid w:val="001419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8325F-46A2-4524-89DF-75CCB7D2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ФЕДЕРАЛЬНОЕ ГОСУДАРСТВЕННОЕ СТАТИСТИЧЕСКОЕ НАБЛЮДЕНИЕ	</vt:lpstr>
      </vt:variant>
      <vt:variant>
        <vt:i4>0</vt:i4>
      </vt:variant>
    </vt:vector>
  </HeadingPairs>
  <TitlesOfParts>
    <vt:vector size="1" baseType="lpstr">
      <vt:lpstr>ФЕДЕРАЛЬНОЕ ГОСУДАРСТВЕННОЕ СТАТИСТИЧЕСКОЕ НАБЛЮДЕНИЕ	</vt:lpstr>
    </vt:vector>
  </TitlesOfParts>
  <Company>ГКС РФ</Company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555</dc:creator>
  <cp:lastModifiedBy>p41_zaikovaom</cp:lastModifiedBy>
  <cp:revision>2</cp:revision>
  <cp:lastPrinted>2017-06-26T05:09:00Z</cp:lastPrinted>
  <dcterms:created xsi:type="dcterms:W3CDTF">2020-02-02T23:25:00Z</dcterms:created>
  <dcterms:modified xsi:type="dcterms:W3CDTF">2020-02-02T23:25:00Z</dcterms:modified>
</cp:coreProperties>
</file>